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AE" w:rsidRPr="009948AE" w:rsidRDefault="009948AE" w:rsidP="0099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48AE" w:rsidRPr="009948AE" w:rsidRDefault="009948AE" w:rsidP="009948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948A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Предоставление поручительства по кредитам субъектов малого и среднего предпринимательства Курской области</w:t>
      </w:r>
    </w:p>
    <w:p w:rsidR="009948AE" w:rsidRPr="009948AE" w:rsidRDefault="009948AE" w:rsidP="0099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0365" cy="2170430"/>
            <wp:effectExtent l="19050" t="0" r="635" b="0"/>
            <wp:docPr id="1" name="Рисунок 1" descr="http://cpp46.ru/images/template/poruch-i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pp46.ru/images/template/poruch-ite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365" cy="217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8AE" w:rsidRPr="009948AE" w:rsidRDefault="009948AE" w:rsidP="009948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</w:t>
      </w:r>
    </w:p>
    <w:p w:rsidR="009948AE" w:rsidRPr="009948AE" w:rsidRDefault="009948AE" w:rsidP="0099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Поручительство по кредитам предоставляется юридическим лицам и индивидуальным предпринимателям, обладающим устойчивым финансовым положением и не располагающим достаточным объемом имущества для предоставления Банку обеспечения возврата кредита</w:t>
      </w:r>
    </w:p>
    <w:p w:rsidR="009948AE" w:rsidRPr="009948AE" w:rsidRDefault="009948AE" w:rsidP="0099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Размер поручительства может составлять до 50 % от суммы обязательств Заемщика, но не более 10% от суммы Гарантийного капитала (по состоянию на 01.01.2017г Гарантийный капитал составляет 193 720,04 тыс. руб.).</w:t>
      </w:r>
    </w:p>
    <w:p w:rsidR="009948AE" w:rsidRPr="009948AE" w:rsidRDefault="009948AE" w:rsidP="0099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Комиссия за предоставление поручительства составляет 1% годовых от суммы поручительства единовременно или в соответствии с графиком установленным договором поручительства (при размере вознаграждения Поручителя от 100 тыс. руб.)</w:t>
      </w:r>
    </w:p>
    <w:p w:rsidR="009948AE" w:rsidRPr="009948AE" w:rsidRDefault="009948AE" w:rsidP="009948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В случае недостаточности предлагаемого Фондом поручительства для обеспечения кредитной сделки Заемщик может привлечь в качестве дополнительного обеспечения Гарантию МСП Банка по продукту «Прямая гарантия, выдаваемая совместно с поручительством РГО (СОГАРАНТИЯ)» ( условия продукта размещены на сайте https://www.mspbank.ru/Predprinimatelyam/Garantiynaya_podderzhka_ot_NGS/ Produktyi_i_uslugi/Pryamaya_garantiya_vyidavaemaya_sovmestno_s_poruchitelstvom_RGO )""</w:t>
      </w:r>
    </w:p>
    <w:p w:rsidR="009948AE" w:rsidRPr="009948AE" w:rsidRDefault="009948AE" w:rsidP="0099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48AE" w:rsidRPr="009948AE" w:rsidRDefault="009948AE" w:rsidP="009948A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b/>
          <w:bCs/>
          <w:sz w:val="24"/>
          <w:szCs w:val="24"/>
        </w:rPr>
        <w:t>Преимущества получения кредита в банке под поручительство Ассоциация МКК «ЦПП Курской области» :</w:t>
      </w:r>
    </w:p>
    <w:p w:rsidR="009948AE" w:rsidRPr="009948AE" w:rsidRDefault="009948AE" w:rsidP="009948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Получение кредита при отсутствии достаточного собственного обеспечения;</w:t>
      </w:r>
    </w:p>
    <w:p w:rsidR="009948AE" w:rsidRPr="009948AE" w:rsidRDefault="009948AE" w:rsidP="009948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Низкая стоимость поручительства практически всегда меньше затрат по страхованию и оценке залогового имущества;</w:t>
      </w:r>
    </w:p>
    <w:p w:rsidR="009948AE" w:rsidRPr="009948AE" w:rsidRDefault="009948AE" w:rsidP="009948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48AE">
        <w:rPr>
          <w:rFonts w:ascii="Times New Roman" w:eastAsia="Times New Roman" w:hAnsi="Times New Roman" w:cs="Times New Roman"/>
          <w:sz w:val="24"/>
          <w:szCs w:val="24"/>
        </w:rPr>
        <w:t>Отсутствие необходимости сбора документов для Ассоциации «ЦПП - МФО Курской области» .</w:t>
      </w:r>
    </w:p>
    <w:p w:rsidR="009948AE" w:rsidRPr="009948AE" w:rsidRDefault="009948AE" w:rsidP="0099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948AE" w:rsidRPr="009948AE" w:rsidSect="009948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058A"/>
    <w:multiLevelType w:val="multilevel"/>
    <w:tmpl w:val="ADBE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48AE"/>
    <w:rsid w:val="00994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48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948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48A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948A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9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948A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9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7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2019-04-11T18:22:00Z</dcterms:created>
  <dcterms:modified xsi:type="dcterms:W3CDTF">2019-04-11T18:23:00Z</dcterms:modified>
</cp:coreProperties>
</file>